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A6979" w14:textId="6237E6DA" w:rsidR="00EC1131" w:rsidRDefault="00EC1131" w:rsidP="00EC11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0F6204">
        <w:rPr>
          <w:rFonts w:ascii="Arial" w:hAnsi="Arial" w:cs="Arial"/>
          <w:b/>
          <w:sz w:val="28"/>
          <w:szCs w:val="28"/>
        </w:rPr>
        <w:t>23</w:t>
      </w:r>
      <w:r>
        <w:rPr>
          <w:rFonts w:ascii="Arial" w:hAnsi="Arial" w:cs="Arial"/>
          <w:b/>
          <w:sz w:val="28"/>
          <w:szCs w:val="28"/>
        </w:rPr>
        <w:t xml:space="preserve"> Rule Change Proposal </w:t>
      </w:r>
      <w:r w:rsidR="005400E8">
        <w:rPr>
          <w:rFonts w:ascii="Arial" w:hAnsi="Arial" w:cs="Arial"/>
          <w:b/>
          <w:sz w:val="28"/>
          <w:szCs w:val="28"/>
        </w:rPr>
        <w:t>#</w:t>
      </w:r>
      <w:r w:rsidR="006D4B46">
        <w:rPr>
          <w:rFonts w:ascii="Arial" w:hAnsi="Arial" w:cs="Arial"/>
          <w:b/>
          <w:sz w:val="28"/>
          <w:szCs w:val="28"/>
        </w:rPr>
        <w:t>9</w:t>
      </w:r>
    </w:p>
    <w:p w14:paraId="21BD327B" w14:textId="77777777" w:rsidR="00EC1131" w:rsidRPr="002601EC" w:rsidRDefault="00EC1131" w:rsidP="00EC1131">
      <w:pPr>
        <w:rPr>
          <w:rFonts w:ascii="Nirmala UI" w:eastAsia="Times New Roman" w:hAnsi="Nirmala UI" w:cs="Nirmala UI"/>
          <w:color w:val="000000"/>
        </w:rPr>
      </w:pPr>
      <w:r>
        <w:rPr>
          <w:rFonts w:ascii="Arial" w:hAnsi="Arial" w:cs="Arial"/>
          <w:b/>
        </w:rPr>
        <w:t xml:space="preserve">Purpose of Proposal:  </w:t>
      </w:r>
      <w:r>
        <w:rPr>
          <w:rFonts w:ascii="Arial" w:hAnsi="Arial" w:cs="Arial"/>
        </w:rPr>
        <w:t xml:space="preserve">To </w:t>
      </w:r>
      <w:r w:rsidR="002601EC">
        <w:rPr>
          <w:rFonts w:ascii="Arial" w:hAnsi="Arial" w:cs="Arial"/>
        </w:rPr>
        <w:t xml:space="preserve">add </w:t>
      </w:r>
      <w:r w:rsidR="008C0A63">
        <w:rPr>
          <w:rFonts w:ascii="Arial" w:hAnsi="Arial" w:cs="Arial"/>
        </w:rPr>
        <w:t>Quinoa (</w:t>
      </w:r>
      <w:r w:rsidR="008C0A63" w:rsidRPr="008C0A63">
        <w:rPr>
          <w:rFonts w:ascii="Arial" w:hAnsi="Arial" w:cs="Arial"/>
          <w:i/>
        </w:rPr>
        <w:t>Chenopodium quinoa</w:t>
      </w:r>
      <w:r w:rsidR="008C0A63">
        <w:rPr>
          <w:rFonts w:ascii="Arial" w:hAnsi="Arial" w:cs="Arial"/>
        </w:rPr>
        <w:t xml:space="preserve">) purity </w:t>
      </w:r>
      <w:r w:rsidR="00B3003F">
        <w:rPr>
          <w:rFonts w:ascii="Arial" w:hAnsi="Arial" w:cs="Arial"/>
        </w:rPr>
        <w:t xml:space="preserve">weights </w:t>
      </w:r>
      <w:r w:rsidR="008C0A63">
        <w:rPr>
          <w:rFonts w:ascii="Arial" w:hAnsi="Arial" w:cs="Arial"/>
        </w:rPr>
        <w:t>and germination methods to the AOSA Rules Volume 1.</w:t>
      </w:r>
    </w:p>
    <w:p w14:paraId="72466542" w14:textId="77777777" w:rsidR="002D604F" w:rsidRDefault="00EC1131" w:rsidP="002D604F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Present Rule:  </w:t>
      </w:r>
      <w:r w:rsidR="008C0A63">
        <w:rPr>
          <w:rFonts w:ascii="Arial" w:hAnsi="Arial" w:cs="Arial"/>
          <w:b/>
        </w:rPr>
        <w:t>New Rule</w:t>
      </w:r>
    </w:p>
    <w:p w14:paraId="11A7873F" w14:textId="77777777" w:rsidR="00261355" w:rsidRDefault="00261355" w:rsidP="00EC1131">
      <w:pPr>
        <w:pStyle w:val="NoSpacing"/>
        <w:rPr>
          <w:rFonts w:ascii="Arial" w:hAnsi="Arial" w:cs="Arial"/>
          <w:b/>
        </w:rPr>
      </w:pPr>
    </w:p>
    <w:p w14:paraId="62FC2F83" w14:textId="77777777" w:rsidR="00EC1131" w:rsidRDefault="00EC1131" w:rsidP="00EC11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7FB79432" w14:textId="77777777" w:rsidR="00EC1131" w:rsidRDefault="00EC1131" w:rsidP="00EC11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Rule: </w:t>
      </w:r>
    </w:p>
    <w:p w14:paraId="40BD39AD" w14:textId="77777777" w:rsidR="008C0A63" w:rsidRDefault="008C0A63" w:rsidP="00EC1131">
      <w:pPr>
        <w:pStyle w:val="NoSpacing"/>
        <w:rPr>
          <w:rFonts w:ascii="Arial" w:hAnsi="Arial" w:cs="Arial"/>
          <w:b/>
        </w:rPr>
      </w:pPr>
    </w:p>
    <w:p w14:paraId="365A70E6" w14:textId="77777777" w:rsidR="008C0A63" w:rsidRPr="008C0A63" w:rsidRDefault="008C0A63" w:rsidP="008C0A63">
      <w:pPr>
        <w:spacing w:after="0" w:line="240" w:lineRule="auto"/>
        <w:rPr>
          <w:rFonts w:ascii="Times New Roman" w:eastAsiaTheme="minorEastAsia" w:hAnsi="Times New Roman" w:cs="Times New Roman"/>
          <w:b/>
        </w:rPr>
      </w:pPr>
      <w:r w:rsidRPr="008C0A63">
        <w:rPr>
          <w:rFonts w:ascii="Times New Roman" w:eastAsiaTheme="minorEastAsia" w:hAnsi="Times New Roman" w:cs="Times New Roman"/>
          <w:b/>
        </w:rPr>
        <w:t>Table 2A. Weights for working samples.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648"/>
        <w:gridCol w:w="746"/>
        <w:gridCol w:w="3196"/>
        <w:gridCol w:w="1167"/>
        <w:gridCol w:w="1347"/>
        <w:gridCol w:w="1236"/>
        <w:gridCol w:w="1236"/>
      </w:tblGrid>
      <w:tr w:rsidR="008C0A63" w:rsidRPr="008C0A63" w14:paraId="7EB8C48A" w14:textId="77777777" w:rsidTr="00957444">
        <w:trPr>
          <w:trHeight w:val="1205"/>
        </w:trPr>
        <w:tc>
          <w:tcPr>
            <w:tcW w:w="648" w:type="dxa"/>
            <w:vMerge w:val="restart"/>
            <w:vAlign w:val="center"/>
          </w:tcPr>
          <w:p w14:paraId="46A9F33B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>Pure Seed Unit #</w:t>
            </w:r>
          </w:p>
        </w:tc>
        <w:tc>
          <w:tcPr>
            <w:tcW w:w="746" w:type="dxa"/>
            <w:vMerge w:val="restart"/>
            <w:vAlign w:val="center"/>
          </w:tcPr>
          <w:p w14:paraId="00E509CF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 xml:space="preserve">Chaffy Seed </w:t>
            </w:r>
            <w:r w:rsidRPr="008C0A63">
              <w:rPr>
                <w:b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3196" w:type="dxa"/>
            <w:vMerge w:val="restart"/>
            <w:vAlign w:val="center"/>
          </w:tcPr>
          <w:p w14:paraId="6DB608D6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>Kind of seed</w:t>
            </w:r>
          </w:p>
        </w:tc>
        <w:tc>
          <w:tcPr>
            <w:tcW w:w="1167" w:type="dxa"/>
            <w:vAlign w:val="center"/>
          </w:tcPr>
          <w:p w14:paraId="7B7DF43F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 xml:space="preserve">Minimum weight for purity analysis </w:t>
            </w:r>
            <w:r w:rsidRPr="008C0A63">
              <w:rPr>
                <w:b/>
                <w:sz w:val="18"/>
                <w:szCs w:val="18"/>
                <w:vertAlign w:val="superscript"/>
              </w:rPr>
              <w:t>b</w:t>
            </w:r>
          </w:p>
        </w:tc>
        <w:tc>
          <w:tcPr>
            <w:tcW w:w="1347" w:type="dxa"/>
            <w:vAlign w:val="center"/>
          </w:tcPr>
          <w:p w14:paraId="2A102008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>Minimum weight for noxious-weed seed or bulk examination</w:t>
            </w:r>
          </w:p>
        </w:tc>
        <w:tc>
          <w:tcPr>
            <w:tcW w:w="1236" w:type="dxa"/>
            <w:vAlign w:val="center"/>
          </w:tcPr>
          <w:p w14:paraId="47A99238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 xml:space="preserve">Approximate number of seeds per gram </w:t>
            </w:r>
            <w:r w:rsidRPr="008C0A63">
              <w:rPr>
                <w:b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236" w:type="dxa"/>
            <w:vAlign w:val="center"/>
          </w:tcPr>
          <w:p w14:paraId="4F5B5AD7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18"/>
                <w:szCs w:val="18"/>
              </w:rPr>
            </w:pPr>
            <w:r w:rsidRPr="008C0A63">
              <w:rPr>
                <w:b/>
                <w:sz w:val="18"/>
                <w:szCs w:val="18"/>
              </w:rPr>
              <w:t xml:space="preserve">Approximate number of seeds per ounce </w:t>
            </w:r>
            <w:r w:rsidRPr="008C0A63">
              <w:rPr>
                <w:b/>
                <w:sz w:val="18"/>
                <w:szCs w:val="18"/>
                <w:vertAlign w:val="superscript"/>
              </w:rPr>
              <w:t>d</w:t>
            </w:r>
          </w:p>
        </w:tc>
      </w:tr>
      <w:tr w:rsidR="008C0A63" w:rsidRPr="008C0A63" w14:paraId="2BC4DE50" w14:textId="77777777" w:rsidTr="00957444">
        <w:tc>
          <w:tcPr>
            <w:tcW w:w="648" w:type="dxa"/>
            <w:vMerge/>
            <w:vAlign w:val="center"/>
          </w:tcPr>
          <w:p w14:paraId="1158EB8E" w14:textId="77777777" w:rsidR="008C0A63" w:rsidRPr="008C0A63" w:rsidRDefault="008C0A63" w:rsidP="008C0A6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46" w:type="dxa"/>
            <w:vMerge/>
            <w:vAlign w:val="center"/>
          </w:tcPr>
          <w:p w14:paraId="1B515F29" w14:textId="77777777" w:rsidR="008C0A63" w:rsidRPr="008C0A63" w:rsidRDefault="008C0A63" w:rsidP="008C0A6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196" w:type="dxa"/>
            <w:vMerge/>
            <w:vAlign w:val="center"/>
          </w:tcPr>
          <w:p w14:paraId="1BBC60B1" w14:textId="77777777" w:rsidR="008C0A63" w:rsidRPr="008C0A63" w:rsidRDefault="008C0A63" w:rsidP="008C0A63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167" w:type="dxa"/>
            <w:vAlign w:val="center"/>
          </w:tcPr>
          <w:p w14:paraId="24D63401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C0A63">
              <w:rPr>
                <w:b/>
                <w:sz w:val="20"/>
                <w:szCs w:val="20"/>
              </w:rPr>
              <w:t>Grams</w:t>
            </w:r>
          </w:p>
        </w:tc>
        <w:tc>
          <w:tcPr>
            <w:tcW w:w="1347" w:type="dxa"/>
            <w:vAlign w:val="center"/>
          </w:tcPr>
          <w:p w14:paraId="4895CBB3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C0A63">
              <w:rPr>
                <w:b/>
                <w:sz w:val="20"/>
                <w:szCs w:val="20"/>
              </w:rPr>
              <w:t>Grams</w:t>
            </w:r>
          </w:p>
        </w:tc>
        <w:tc>
          <w:tcPr>
            <w:tcW w:w="1236" w:type="dxa"/>
            <w:vAlign w:val="center"/>
          </w:tcPr>
          <w:p w14:paraId="35B47ADA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C0A63">
              <w:rPr>
                <w:b/>
                <w:sz w:val="20"/>
                <w:szCs w:val="20"/>
              </w:rPr>
              <w:t>Number</w:t>
            </w:r>
          </w:p>
        </w:tc>
        <w:tc>
          <w:tcPr>
            <w:tcW w:w="1236" w:type="dxa"/>
            <w:vAlign w:val="center"/>
          </w:tcPr>
          <w:p w14:paraId="67D9DB74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C0A63">
              <w:rPr>
                <w:b/>
                <w:sz w:val="20"/>
                <w:szCs w:val="20"/>
              </w:rPr>
              <w:t>Number</w:t>
            </w:r>
          </w:p>
        </w:tc>
      </w:tr>
      <w:tr w:rsidR="008C0A63" w:rsidRPr="008C0A63" w14:paraId="06F800AF" w14:textId="77777777" w:rsidTr="00957444">
        <w:tc>
          <w:tcPr>
            <w:tcW w:w="648" w:type="dxa"/>
            <w:vAlign w:val="center"/>
          </w:tcPr>
          <w:p w14:paraId="3A916F7D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38</w:t>
            </w:r>
          </w:p>
        </w:tc>
        <w:tc>
          <w:tcPr>
            <w:tcW w:w="746" w:type="dxa"/>
          </w:tcPr>
          <w:p w14:paraId="786EF2BC" w14:textId="77777777" w:rsidR="008C0A63" w:rsidRPr="008C0A63" w:rsidRDefault="008C0A63" w:rsidP="008C0A63">
            <w:pPr>
              <w:spacing w:after="200" w:line="276" w:lineRule="auto"/>
              <w:rPr>
                <w:sz w:val="20"/>
                <w:szCs w:val="20"/>
              </w:rPr>
            </w:pPr>
          </w:p>
          <w:p w14:paraId="53631ED1" w14:textId="77777777" w:rsidR="008C0A63" w:rsidRPr="008C0A63" w:rsidRDefault="008C0A63" w:rsidP="008C0A63">
            <w:pPr>
              <w:spacing w:after="200" w:line="276" w:lineRule="auto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C</w:t>
            </w:r>
          </w:p>
        </w:tc>
        <w:tc>
          <w:tcPr>
            <w:tcW w:w="3196" w:type="dxa"/>
          </w:tcPr>
          <w:p w14:paraId="1CA20FF8" w14:textId="77777777" w:rsidR="008C0A63" w:rsidRPr="008C0A63" w:rsidRDefault="008C0A63" w:rsidP="008C0A63">
            <w:pPr>
              <w:spacing w:after="200" w:line="276" w:lineRule="auto"/>
              <w:rPr>
                <w:sz w:val="20"/>
                <w:szCs w:val="20"/>
              </w:rPr>
            </w:pPr>
            <w:r w:rsidRPr="008C0A63">
              <w:rPr>
                <w:i/>
                <w:sz w:val="20"/>
                <w:szCs w:val="20"/>
              </w:rPr>
              <w:t>Chenopodium quinoa</w:t>
            </w:r>
            <w:r w:rsidRPr="008C0A63">
              <w:rPr>
                <w:sz w:val="20"/>
                <w:szCs w:val="20"/>
              </w:rPr>
              <w:t xml:space="preserve"> Willd.</w:t>
            </w:r>
          </w:p>
          <w:p w14:paraId="104B60FB" w14:textId="77777777" w:rsidR="008C0A63" w:rsidRPr="008C0A63" w:rsidRDefault="008C0A63" w:rsidP="008C0A63">
            <w:pPr>
              <w:spacing w:after="200" w:line="276" w:lineRule="auto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 xml:space="preserve">   quinoa</w:t>
            </w:r>
          </w:p>
        </w:tc>
        <w:tc>
          <w:tcPr>
            <w:tcW w:w="1167" w:type="dxa"/>
            <w:vAlign w:val="center"/>
          </w:tcPr>
          <w:p w14:paraId="36D44664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7</w:t>
            </w:r>
          </w:p>
        </w:tc>
        <w:tc>
          <w:tcPr>
            <w:tcW w:w="1347" w:type="dxa"/>
            <w:vAlign w:val="center"/>
          </w:tcPr>
          <w:p w14:paraId="089D2F91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70</w:t>
            </w:r>
          </w:p>
        </w:tc>
        <w:tc>
          <w:tcPr>
            <w:tcW w:w="1236" w:type="dxa"/>
            <w:vAlign w:val="center"/>
          </w:tcPr>
          <w:p w14:paraId="11367ADC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367</w:t>
            </w:r>
          </w:p>
        </w:tc>
        <w:tc>
          <w:tcPr>
            <w:tcW w:w="1236" w:type="dxa"/>
            <w:vAlign w:val="center"/>
          </w:tcPr>
          <w:p w14:paraId="721411B3" w14:textId="77777777" w:rsidR="008C0A63" w:rsidRPr="008C0A63" w:rsidRDefault="008C0A63" w:rsidP="008C0A63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8C0A63">
              <w:rPr>
                <w:sz w:val="20"/>
                <w:szCs w:val="20"/>
              </w:rPr>
              <w:t>10,805</w:t>
            </w:r>
          </w:p>
        </w:tc>
      </w:tr>
    </w:tbl>
    <w:p w14:paraId="733EE867" w14:textId="77777777" w:rsidR="008C0A63" w:rsidRDefault="008C0A63" w:rsidP="00EC1131">
      <w:pPr>
        <w:pStyle w:val="NoSpacing"/>
        <w:rPr>
          <w:rFonts w:ascii="Arial" w:hAnsi="Arial" w:cs="Arial"/>
          <w:b/>
        </w:rPr>
      </w:pPr>
    </w:p>
    <w:p w14:paraId="4F66A569" w14:textId="77777777" w:rsidR="008C0A63" w:rsidRDefault="008C0A63" w:rsidP="00EC1131">
      <w:pPr>
        <w:pStyle w:val="NoSpacing"/>
        <w:rPr>
          <w:rFonts w:ascii="Arial" w:hAnsi="Arial" w:cs="Arial"/>
          <w:b/>
        </w:rPr>
      </w:pPr>
    </w:p>
    <w:p w14:paraId="2FE49FDC" w14:textId="77777777" w:rsidR="008C0A63" w:rsidRDefault="008C0A63" w:rsidP="00EC1131">
      <w:pPr>
        <w:pStyle w:val="NoSpacing"/>
        <w:rPr>
          <w:rFonts w:ascii="Arial" w:hAnsi="Arial" w:cs="Arial"/>
          <w:b/>
        </w:rPr>
      </w:pPr>
    </w:p>
    <w:p w14:paraId="70D59848" w14:textId="77777777" w:rsidR="002D604F" w:rsidRPr="002D604F" w:rsidRDefault="002D604F" w:rsidP="002D604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Table 6A. Methods of testing for laboratory germination. </w:t>
      </w:r>
    </w:p>
    <w:tbl>
      <w:tblPr>
        <w:tblW w:w="9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1"/>
        <w:gridCol w:w="988"/>
        <w:gridCol w:w="989"/>
        <w:gridCol w:w="881"/>
        <w:gridCol w:w="799"/>
        <w:gridCol w:w="1930"/>
        <w:gridCol w:w="1530"/>
      </w:tblGrid>
      <w:tr w:rsidR="008C0A63" w:rsidRPr="002D604F" w14:paraId="213716EC" w14:textId="77777777" w:rsidTr="00957444">
        <w:trPr>
          <w:trHeight w:val="1013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FE86F" w14:textId="77777777" w:rsidR="008C0A63" w:rsidRPr="002D604F" w:rsidRDefault="008C0A63" w:rsidP="00957444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Kind of seed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C4C1EB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Substrata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5014CF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Tempera-ture </w:t>
            </w:r>
          </w:p>
          <w:p w14:paraId="153B2B22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(°C)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F27A57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 </w:t>
            </w:r>
          </w:p>
          <w:p w14:paraId="064C1DEC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First count (days)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2490B2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Final count (days)</w:t>
            </w: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CFCBB6" w14:textId="77777777" w:rsidR="008C0A63" w:rsidRDefault="008C0A63" w:rsidP="0095744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Specific </w:t>
            </w: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 xml:space="preserve">requirements </w:t>
            </w:r>
          </w:p>
          <w:p w14:paraId="58C6F728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and notes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404A4E7" w14:textId="77777777" w:rsidR="008C0A63" w:rsidRPr="002D604F" w:rsidRDefault="008C0A63" w:rsidP="00957444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18"/>
                <w:szCs w:val="18"/>
              </w:rPr>
              <w:t>Dormant seed</w:t>
            </w:r>
          </w:p>
        </w:tc>
      </w:tr>
      <w:tr w:rsidR="008C0A63" w:rsidRPr="002D604F" w14:paraId="37106AA0" w14:textId="77777777" w:rsidTr="00957444">
        <w:trPr>
          <w:trHeight w:val="1094"/>
        </w:trPr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772FE1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  <w:tab w:val="left" w:pos="2160"/>
                <w:tab w:val="left" w:pos="2880"/>
              </w:tabs>
              <w:spacing w:before="26" w:after="0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Chenopodium quinoa</w:t>
            </w:r>
          </w:p>
          <w:p w14:paraId="4C74A3E7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  <w:tab w:val="left" w:pos="2160"/>
                <w:tab w:val="left" w:pos="2880"/>
              </w:tabs>
              <w:spacing w:after="27"/>
              <w:ind w:left="331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quinoa</w:t>
            </w:r>
          </w:p>
          <w:p w14:paraId="31C0B49A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  <w:tab w:val="left" w:pos="2160"/>
                <w:tab w:val="left" w:pos="2880"/>
              </w:tabs>
              <w:spacing w:after="27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           </w:t>
            </w:r>
          </w:p>
        </w:tc>
        <w:tc>
          <w:tcPr>
            <w:tcW w:w="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DD5010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</w:tabs>
              <w:spacing w:before="26" w:after="27"/>
              <w:rPr>
                <w:rFonts w:ascii="Arial" w:eastAsia="Times New Roman" w:hAnsi="Arial" w:cs="Arial"/>
                <w:sz w:val="36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TB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5540AA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;</w:t>
            </w:r>
            <w:r w:rsidRPr="002D604F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</w:t>
            </w:r>
          </w:p>
          <w:p w14:paraId="7A9EA534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</w:t>
            </w:r>
          </w:p>
        </w:tc>
        <w:tc>
          <w:tcPr>
            <w:tcW w:w="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34A803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</w:t>
            </w:r>
          </w:p>
          <w:p w14:paraId="061E5921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554DF8E4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521B9F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</w:p>
          <w:p w14:paraId="07FA5F9B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  <w:p w14:paraId="2B3283AB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</w:tabs>
              <w:spacing w:before="26" w:after="27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F2001A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  <w:tab w:val="left" w:pos="2160"/>
                <w:tab w:val="left" w:pos="2880"/>
              </w:tabs>
              <w:spacing w:before="26" w:after="27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FABC24" w14:textId="77777777" w:rsidR="008C0A63" w:rsidRPr="002D604F" w:rsidRDefault="008C0A63" w:rsidP="00957444">
            <w:pPr>
              <w:tabs>
                <w:tab w:val="left" w:pos="-1362"/>
                <w:tab w:val="left" w:pos="-720"/>
                <w:tab w:val="left" w:pos="0"/>
                <w:tab w:val="left" w:pos="240"/>
                <w:tab w:val="left" w:pos="420"/>
                <w:tab w:val="left" w:pos="630"/>
                <w:tab w:val="left" w:pos="2160"/>
                <w:tab w:val="left" w:pos="2880"/>
              </w:tabs>
              <w:spacing w:before="26" w:after="27"/>
              <w:rPr>
                <w:rFonts w:ascii="Arial" w:eastAsia="Times New Roman" w:hAnsi="Arial" w:cs="Arial"/>
                <w:sz w:val="36"/>
                <w:szCs w:val="36"/>
              </w:rPr>
            </w:pPr>
            <w:r w:rsidRPr="002D604F">
              <w:rPr>
                <w:rFonts w:ascii="Calibri" w:eastAsia="Calibri" w:hAnsi="Calibri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</w:tr>
    </w:tbl>
    <w:p w14:paraId="0BD742C9" w14:textId="77777777" w:rsidR="002D604F" w:rsidRDefault="002D604F" w:rsidP="00EC1131">
      <w:pPr>
        <w:pStyle w:val="NoSpacing"/>
        <w:rPr>
          <w:rFonts w:ascii="Arial" w:hAnsi="Arial" w:cs="Arial"/>
          <w:b/>
        </w:rPr>
      </w:pPr>
    </w:p>
    <w:p w14:paraId="5C29D782" w14:textId="77777777" w:rsidR="002D604F" w:rsidRDefault="002D604F" w:rsidP="00EC1131">
      <w:pPr>
        <w:pStyle w:val="NoSpacing"/>
        <w:rPr>
          <w:rFonts w:ascii="Arial" w:hAnsi="Arial" w:cs="Arial"/>
          <w:b/>
        </w:rPr>
      </w:pPr>
    </w:p>
    <w:p w14:paraId="4C3D82CC" w14:textId="77777777" w:rsidR="0078284F" w:rsidRDefault="00EC1131" w:rsidP="0078284F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Harmonization and Impact Statement: </w:t>
      </w:r>
    </w:p>
    <w:p w14:paraId="6ECFAD83" w14:textId="77777777" w:rsidR="00EC1131" w:rsidRDefault="004C3001" w:rsidP="00EC1131">
      <w:pPr>
        <w:pStyle w:val="NoSpacing"/>
        <w:rPr>
          <w:rFonts w:ascii="Arial" w:hAnsi="Arial" w:cs="Arial"/>
        </w:rPr>
      </w:pPr>
      <w:r w:rsidRPr="004C3001">
        <w:rPr>
          <w:rFonts w:ascii="Arial" w:hAnsi="Arial" w:cs="Arial"/>
        </w:rPr>
        <w:t xml:space="preserve">In 2021 the testing procedures </w:t>
      </w:r>
      <w:r>
        <w:rPr>
          <w:rFonts w:ascii="Arial" w:hAnsi="Arial" w:cs="Arial"/>
        </w:rPr>
        <w:t xml:space="preserve">for </w:t>
      </w:r>
      <w:r w:rsidRPr="004C3001">
        <w:rPr>
          <w:rFonts w:ascii="Arial" w:hAnsi="Arial" w:cs="Arial"/>
          <w:i/>
        </w:rPr>
        <w:t>Chenopodium quinoa</w:t>
      </w:r>
      <w:r>
        <w:rPr>
          <w:rFonts w:ascii="Arial" w:hAnsi="Arial" w:cs="Arial"/>
        </w:rPr>
        <w:t xml:space="preserve"> </w:t>
      </w:r>
      <w:r w:rsidRPr="004C3001">
        <w:rPr>
          <w:rFonts w:ascii="Arial" w:hAnsi="Arial" w:cs="Arial"/>
        </w:rPr>
        <w:t>were added to the ISTA Rules</w:t>
      </w:r>
      <w:r w:rsidR="005B2C4A">
        <w:rPr>
          <w:rFonts w:ascii="Arial" w:hAnsi="Arial" w:cs="Arial"/>
        </w:rPr>
        <w:t>.</w:t>
      </w:r>
    </w:p>
    <w:p w14:paraId="30407FE3" w14:textId="77777777" w:rsidR="004C3001" w:rsidRDefault="004C3001" w:rsidP="004C3001">
      <w:pPr>
        <w:pStyle w:val="NoSpacing"/>
        <w:rPr>
          <w:rFonts w:ascii="Arial" w:hAnsi="Arial" w:cs="Arial"/>
        </w:rPr>
      </w:pPr>
      <w:r w:rsidRPr="004C3001">
        <w:rPr>
          <w:rFonts w:ascii="Arial" w:hAnsi="Arial" w:cs="Arial"/>
        </w:rPr>
        <w:t>ISTA methods (effective 2022) are as follows:</w:t>
      </w:r>
    </w:p>
    <w:p w14:paraId="357706B3" w14:textId="77777777" w:rsidR="005B2C4A" w:rsidRPr="004C3001" w:rsidRDefault="005B2C4A" w:rsidP="004C3001">
      <w:pPr>
        <w:pStyle w:val="NoSpacing"/>
        <w:rPr>
          <w:rFonts w:ascii="Arial" w:hAnsi="Arial" w:cs="Arial"/>
        </w:rPr>
      </w:pPr>
    </w:p>
    <w:p w14:paraId="3248D5B3" w14:textId="77777777" w:rsidR="004C3001" w:rsidRPr="004C3001" w:rsidRDefault="004C3001" w:rsidP="004C3001">
      <w:pPr>
        <w:pStyle w:val="NoSpacing"/>
        <w:rPr>
          <w:rFonts w:ascii="Arial" w:hAnsi="Arial" w:cs="Arial"/>
        </w:rPr>
      </w:pPr>
      <w:r w:rsidRPr="004C3001">
        <w:rPr>
          <w:rFonts w:ascii="Arial" w:hAnsi="Arial" w:cs="Arial"/>
        </w:rPr>
        <w:t>Minimum weights – purity: 10 g; Other seeds: 100g</w:t>
      </w:r>
    </w:p>
    <w:p w14:paraId="2F3AF13F" w14:textId="77777777" w:rsidR="004C3001" w:rsidRPr="004C3001" w:rsidRDefault="004C3001" w:rsidP="004C3001">
      <w:pPr>
        <w:pStyle w:val="NoSpacing"/>
        <w:rPr>
          <w:rFonts w:ascii="Arial" w:hAnsi="Arial" w:cs="Arial"/>
        </w:rPr>
      </w:pPr>
      <w:r w:rsidRPr="004C3001">
        <w:rPr>
          <w:rFonts w:ascii="Arial" w:hAnsi="Arial" w:cs="Arial"/>
        </w:rPr>
        <w:t>PSD 2 (achene)</w:t>
      </w:r>
    </w:p>
    <w:p w14:paraId="0345C0BA" w14:textId="77777777" w:rsidR="004C3001" w:rsidRDefault="004C3001" w:rsidP="004C3001">
      <w:pPr>
        <w:pStyle w:val="NoSpacing"/>
        <w:rPr>
          <w:rFonts w:ascii="Arial" w:hAnsi="Arial" w:cs="Arial"/>
        </w:rPr>
      </w:pPr>
      <w:r w:rsidRPr="004C3001">
        <w:rPr>
          <w:rFonts w:ascii="Arial" w:hAnsi="Arial" w:cs="Arial"/>
        </w:rPr>
        <w:t>Germination – TP, BP 20°C, 4 day first count, 7 day final count</w:t>
      </w:r>
    </w:p>
    <w:p w14:paraId="25FF53F2" w14:textId="77777777" w:rsidR="005B2C4A" w:rsidRDefault="005B2C4A" w:rsidP="004C3001">
      <w:pPr>
        <w:pStyle w:val="NoSpacing"/>
        <w:rPr>
          <w:rFonts w:ascii="Arial" w:hAnsi="Arial" w:cs="Arial"/>
        </w:rPr>
      </w:pPr>
    </w:p>
    <w:p w14:paraId="4F44437B" w14:textId="77777777" w:rsidR="004C3001" w:rsidRDefault="005B2C4A" w:rsidP="004C30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This species is not included in the Canadian M&amp;P or the Federal Seed Act.</w:t>
      </w:r>
    </w:p>
    <w:p w14:paraId="08DDAAFE" w14:textId="77777777" w:rsidR="004C3001" w:rsidRDefault="004C3001" w:rsidP="004C3001">
      <w:pPr>
        <w:pStyle w:val="NoSpacing"/>
        <w:rPr>
          <w:rFonts w:ascii="Arial" w:hAnsi="Arial" w:cs="Arial"/>
        </w:rPr>
      </w:pPr>
    </w:p>
    <w:p w14:paraId="3AF57591" w14:textId="77777777" w:rsidR="005B2C4A" w:rsidRDefault="005B2C4A" w:rsidP="004C3001">
      <w:pPr>
        <w:pStyle w:val="NoSpacing"/>
        <w:rPr>
          <w:rFonts w:ascii="Arial" w:hAnsi="Arial" w:cs="Arial"/>
        </w:rPr>
      </w:pPr>
    </w:p>
    <w:p w14:paraId="75AC045A" w14:textId="77777777" w:rsidR="005B2C4A" w:rsidRPr="004C3001" w:rsidRDefault="005B2C4A" w:rsidP="004C3001">
      <w:pPr>
        <w:pStyle w:val="NoSpacing"/>
        <w:rPr>
          <w:rFonts w:ascii="Arial" w:hAnsi="Arial" w:cs="Arial"/>
        </w:rPr>
      </w:pPr>
    </w:p>
    <w:p w14:paraId="632FF83D" w14:textId="77777777" w:rsidR="005B2C4A" w:rsidRDefault="00A1637B" w:rsidP="00EC11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Evidence:  </w:t>
      </w:r>
    </w:p>
    <w:p w14:paraId="42532CA1" w14:textId="77777777" w:rsidR="006370BC" w:rsidRDefault="005B2C4A" w:rsidP="00EC1131">
      <w:pPr>
        <w:pStyle w:val="NoSpacing"/>
        <w:rPr>
          <w:rFonts w:ascii="Arial" w:hAnsi="Arial" w:cs="Arial"/>
        </w:rPr>
      </w:pPr>
      <w:r w:rsidRPr="005B2C4A">
        <w:rPr>
          <w:rFonts w:ascii="Arial" w:hAnsi="Arial" w:cs="Arial"/>
        </w:rPr>
        <w:lastRenderedPageBreak/>
        <w:t>Quinoa (</w:t>
      </w:r>
      <w:r w:rsidRPr="005B2C4A">
        <w:rPr>
          <w:rFonts w:ascii="Arial" w:hAnsi="Arial" w:cs="Arial"/>
          <w:i/>
        </w:rPr>
        <w:t>Chenopodium quinoa</w:t>
      </w:r>
      <w:r w:rsidRPr="005B2C4A">
        <w:rPr>
          <w:rFonts w:ascii="Arial" w:hAnsi="Arial" w:cs="Arial"/>
        </w:rPr>
        <w:t xml:space="preserve">) is an edible grain or pseudocereal which is increasing in use and therefore being tested in seed laboratories. </w:t>
      </w:r>
      <w:r>
        <w:rPr>
          <w:rFonts w:ascii="Arial" w:hAnsi="Arial" w:cs="Arial"/>
        </w:rPr>
        <w:t>ISTA added this species to their Rules in 2021.  Analysts in the US were interested in adding this species to the AOSA Rules, and in 2021 a referee was co</w:t>
      </w:r>
      <w:r w:rsidR="000D373A">
        <w:rPr>
          <w:rFonts w:ascii="Arial" w:hAnsi="Arial" w:cs="Arial"/>
        </w:rPr>
        <w:t>nducted in order to gather data with the purpose of adding</w:t>
      </w:r>
      <w:r>
        <w:rPr>
          <w:rFonts w:ascii="Arial" w:hAnsi="Arial" w:cs="Arial"/>
        </w:rPr>
        <w:t xml:space="preserve"> germi</w:t>
      </w:r>
      <w:r w:rsidR="0025702C">
        <w:rPr>
          <w:rFonts w:ascii="Arial" w:hAnsi="Arial" w:cs="Arial"/>
        </w:rPr>
        <w:t xml:space="preserve">nation methods to </w:t>
      </w:r>
      <w:r>
        <w:rPr>
          <w:rFonts w:ascii="Arial" w:hAnsi="Arial" w:cs="Arial"/>
        </w:rPr>
        <w:t xml:space="preserve">Table 6A.  </w:t>
      </w:r>
      <w:r w:rsidR="006370BC">
        <w:rPr>
          <w:rFonts w:ascii="Arial" w:hAnsi="Arial" w:cs="Arial"/>
        </w:rPr>
        <w:t xml:space="preserve">The referee organizers were encouraged to compare </w:t>
      </w:r>
      <w:r w:rsidR="006370BC" w:rsidRPr="006370BC">
        <w:rPr>
          <w:rFonts w:ascii="Calibri" w:eastAsia="Calibri" w:hAnsi="Calibri" w:cs="Times New Roman"/>
          <w:b/>
          <w:bCs/>
          <w:color w:val="000000"/>
          <w:kern w:val="24"/>
        </w:rPr>
        <w:t>15°C</w:t>
      </w:r>
      <w:r w:rsidR="006370BC">
        <w:rPr>
          <w:rFonts w:ascii="Arial" w:hAnsi="Arial" w:cs="Arial"/>
        </w:rPr>
        <w:t xml:space="preserve"> to </w:t>
      </w:r>
      <w:r w:rsidR="006370BC" w:rsidRPr="006370BC">
        <w:rPr>
          <w:rFonts w:ascii="Calibri" w:eastAsia="Calibri" w:hAnsi="Calibri" w:cs="Times New Roman"/>
          <w:b/>
          <w:bCs/>
          <w:color w:val="000000"/>
          <w:kern w:val="24"/>
        </w:rPr>
        <w:t>20°C</w:t>
      </w:r>
      <w:r w:rsidR="006370BC">
        <w:rPr>
          <w:rFonts w:ascii="Arial" w:hAnsi="Arial" w:cs="Arial"/>
        </w:rPr>
        <w:t xml:space="preserve"> as part of this study, as some labs reported having success using th</w:t>
      </w:r>
      <w:r w:rsidR="0025702C">
        <w:rPr>
          <w:rFonts w:ascii="Arial" w:hAnsi="Arial" w:cs="Arial"/>
        </w:rPr>
        <w:t>e lower</w:t>
      </w:r>
      <w:r w:rsidR="006370BC">
        <w:rPr>
          <w:rFonts w:ascii="Arial" w:hAnsi="Arial" w:cs="Arial"/>
        </w:rPr>
        <w:t xml:space="preserve"> temperature. The referee design was approved by the </w:t>
      </w:r>
      <w:r w:rsidR="00A5289B">
        <w:rPr>
          <w:rFonts w:ascii="Arial" w:hAnsi="Arial" w:cs="Arial"/>
        </w:rPr>
        <w:t>co-</w:t>
      </w:r>
      <w:r w:rsidR="006370BC">
        <w:rPr>
          <w:rFonts w:ascii="Arial" w:hAnsi="Arial" w:cs="Arial"/>
        </w:rPr>
        <w:t>chair</w:t>
      </w:r>
      <w:r w:rsidR="00A5289B">
        <w:rPr>
          <w:rFonts w:ascii="Arial" w:hAnsi="Arial" w:cs="Arial"/>
        </w:rPr>
        <w:t>s</w:t>
      </w:r>
      <w:r w:rsidR="006370BC">
        <w:rPr>
          <w:rFonts w:ascii="Arial" w:hAnsi="Arial" w:cs="Arial"/>
        </w:rPr>
        <w:t xml:space="preserve"> of the Germination subcommittee.  Four lots of varying quality were sent to 12 laboratories, along with the germination media to be used (white blotters) in order to reduce a source of variability.  </w:t>
      </w:r>
      <w:r>
        <w:rPr>
          <w:rFonts w:ascii="Arial" w:hAnsi="Arial" w:cs="Arial"/>
        </w:rPr>
        <w:t xml:space="preserve">Data </w:t>
      </w:r>
      <w:r w:rsidR="006370BC">
        <w:rPr>
          <w:rFonts w:ascii="Arial" w:hAnsi="Arial" w:cs="Arial"/>
        </w:rPr>
        <w:t xml:space="preserve">from 11 labs completing the referee </w:t>
      </w:r>
      <w:r>
        <w:rPr>
          <w:rFonts w:ascii="Arial" w:hAnsi="Arial" w:cs="Arial"/>
        </w:rPr>
        <w:t>was compiled and analyzed</w:t>
      </w:r>
      <w:r w:rsidR="006370BC">
        <w:rPr>
          <w:rFonts w:ascii="Arial" w:hAnsi="Arial" w:cs="Arial"/>
        </w:rPr>
        <w:t>.  The following is a summary of the results:</w:t>
      </w:r>
    </w:p>
    <w:p w14:paraId="0BE3E89E" w14:textId="77777777" w:rsidR="005A7799" w:rsidRDefault="005A7799" w:rsidP="00EC1131">
      <w:pPr>
        <w:pStyle w:val="NoSpacing"/>
        <w:rPr>
          <w:rFonts w:ascii="Arial" w:hAnsi="Arial" w:cs="Arial"/>
        </w:rPr>
      </w:pPr>
    </w:p>
    <w:p w14:paraId="415FBDDB" w14:textId="77777777" w:rsidR="006370BC" w:rsidRPr="005A7799" w:rsidRDefault="005A7799" w:rsidP="00EC1131">
      <w:pPr>
        <w:pStyle w:val="NoSpacing"/>
        <w:rPr>
          <w:rFonts w:ascii="Arial" w:hAnsi="Arial" w:cs="Arial"/>
          <w:b/>
        </w:rPr>
      </w:pPr>
      <w:r w:rsidRPr="005A7799">
        <w:rPr>
          <w:rFonts w:ascii="Arial" w:hAnsi="Arial" w:cs="Arial"/>
          <w:b/>
        </w:rPr>
        <w:t>Average germination results for quinoa from 11 laboratories: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3840"/>
        <w:gridCol w:w="3300"/>
      </w:tblGrid>
      <w:tr w:rsidR="006370BC" w:rsidRPr="006370BC" w14:paraId="484ADCE4" w14:textId="77777777" w:rsidTr="006370BC">
        <w:trPr>
          <w:trHeight w:val="69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0346D7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Sample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5C15622" w14:textId="77777777" w:rsidR="006370BC" w:rsidRPr="006370BC" w:rsidRDefault="006370BC" w:rsidP="006370BC">
            <w:pPr>
              <w:spacing w:after="0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Tested at 20°C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1240C0" w14:textId="77777777" w:rsidR="006370BC" w:rsidRPr="006370BC" w:rsidRDefault="006370BC" w:rsidP="006370BC">
            <w:pPr>
              <w:spacing w:after="0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Tested at 15°C</w:t>
            </w:r>
          </w:p>
        </w:tc>
      </w:tr>
      <w:tr w:rsidR="006370BC" w:rsidRPr="006370BC" w14:paraId="3D2F3090" w14:textId="77777777" w:rsidTr="006370BC">
        <w:trPr>
          <w:trHeight w:val="69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B08FA2E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1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72B15F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45.23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0B4A54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47.52</w:t>
            </w:r>
          </w:p>
        </w:tc>
      </w:tr>
      <w:tr w:rsidR="006370BC" w:rsidRPr="006370BC" w14:paraId="719DBC92" w14:textId="77777777" w:rsidTr="006370BC">
        <w:trPr>
          <w:trHeight w:val="69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6D90E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2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2A1D8A2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47.75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00A3EE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49.98</w:t>
            </w:r>
          </w:p>
        </w:tc>
      </w:tr>
      <w:tr w:rsidR="006370BC" w:rsidRPr="006370BC" w14:paraId="7F8AEAB9" w14:textId="77777777" w:rsidTr="006370BC">
        <w:trPr>
          <w:trHeight w:val="69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582872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3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147D8D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71.82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213F6B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72.00</w:t>
            </w:r>
          </w:p>
        </w:tc>
      </w:tr>
      <w:tr w:rsidR="006370BC" w:rsidRPr="006370BC" w14:paraId="73DE44A9" w14:textId="77777777" w:rsidTr="006370BC">
        <w:trPr>
          <w:trHeight w:val="69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5BA8FB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4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6E5CB5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59.14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6E75616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55.41</w:t>
            </w:r>
          </w:p>
        </w:tc>
      </w:tr>
      <w:tr w:rsidR="006370BC" w:rsidRPr="006370BC" w14:paraId="275D5D06" w14:textId="77777777" w:rsidTr="006370BC">
        <w:trPr>
          <w:trHeight w:val="460"/>
        </w:trPr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FCE9DA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Overall Average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A41DBE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  <w:r w:rsidRPr="006370BC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55.99%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160227" w14:textId="77777777" w:rsidR="006370BC" w:rsidRPr="006370BC" w:rsidRDefault="006370BC" w:rsidP="006370BC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6370BC">
              <w:rPr>
                <w:rFonts w:ascii="Calibri" w:eastAsia="Calibri" w:hAnsi="Calibri" w:cs="Times New Roman"/>
                <w:color w:val="000000"/>
                <w:kern w:val="24"/>
              </w:rPr>
              <w:t> </w:t>
            </w:r>
            <w:r w:rsidRPr="006370BC">
              <w:rPr>
                <w:rFonts w:ascii="Calibri" w:eastAsia="Calibri" w:hAnsi="Calibri" w:cs="Times New Roman"/>
                <w:b/>
                <w:bCs/>
                <w:color w:val="000000"/>
                <w:kern w:val="24"/>
              </w:rPr>
              <w:t>56.23%</w:t>
            </w:r>
          </w:p>
        </w:tc>
      </w:tr>
    </w:tbl>
    <w:p w14:paraId="43C67443" w14:textId="77777777" w:rsidR="006370BC" w:rsidRDefault="006370BC" w:rsidP="00EC1131">
      <w:pPr>
        <w:pStyle w:val="NoSpacing"/>
        <w:rPr>
          <w:rFonts w:ascii="Arial" w:hAnsi="Arial" w:cs="Arial"/>
        </w:rPr>
      </w:pPr>
    </w:p>
    <w:p w14:paraId="2F671A50" w14:textId="77777777" w:rsidR="006370BC" w:rsidRDefault="006370BC" w:rsidP="00EC1131">
      <w:pPr>
        <w:pStyle w:val="NoSpacing"/>
        <w:rPr>
          <w:rFonts w:ascii="Arial" w:hAnsi="Arial" w:cs="Arial"/>
        </w:rPr>
      </w:pPr>
    </w:p>
    <w:p w14:paraId="21693F17" w14:textId="77777777" w:rsidR="00A5289B" w:rsidRDefault="00A5289B" w:rsidP="00EC11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raw data was analyzed by Dr. Riad Baalbaki of the California Department of Agriculture and AOSA co-chair of the Germination subcommittee.</w:t>
      </w:r>
      <w:r w:rsidR="006370BC">
        <w:rPr>
          <w:rFonts w:ascii="Arial" w:hAnsi="Arial" w:cs="Arial"/>
        </w:rPr>
        <w:t xml:space="preserve"> – his analysis is included as supporting evidence. </w:t>
      </w:r>
      <w:r>
        <w:rPr>
          <w:rFonts w:ascii="Arial" w:hAnsi="Arial" w:cs="Arial"/>
        </w:rPr>
        <w:t>The main findings from the data analysis indicate that 1) Samples had a range in quality; 2) Using either 15 or 20C as test temperature had no effect on final germination percent when averaged over all other factors; 3) With a single exception (lab 9 sample 4), no lab produced significantly different results when germination was evaluated at 15 and 20C; and 4) The extent of variability among labs depended on the sample being tested and was not effected by temperature.</w:t>
      </w:r>
    </w:p>
    <w:p w14:paraId="5DA60888" w14:textId="77777777" w:rsidR="00A5289B" w:rsidRDefault="00A5289B" w:rsidP="00EC1131">
      <w:pPr>
        <w:pStyle w:val="NoSpacing"/>
        <w:rPr>
          <w:rFonts w:ascii="Arial" w:hAnsi="Arial" w:cs="Arial"/>
        </w:rPr>
      </w:pPr>
    </w:p>
    <w:p w14:paraId="45A22591" w14:textId="77777777" w:rsidR="005B2C4A" w:rsidRDefault="005B2C4A" w:rsidP="00EC11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Referee results were presented at the 2022 AOSA/SCST meeting in Skokie, IL.  This PowerPoint presentation is </w:t>
      </w:r>
      <w:r w:rsidR="006370BC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i</w:t>
      </w:r>
      <w:r w:rsidR="00A5289B">
        <w:rPr>
          <w:rFonts w:ascii="Arial" w:hAnsi="Arial" w:cs="Arial"/>
        </w:rPr>
        <w:t>ncluded as supporting evidence.</w:t>
      </w:r>
    </w:p>
    <w:p w14:paraId="7888158C" w14:textId="77777777" w:rsidR="005B2C4A" w:rsidRDefault="005B2C4A" w:rsidP="00EC1131">
      <w:pPr>
        <w:pStyle w:val="NoSpacing"/>
        <w:rPr>
          <w:rFonts w:ascii="Arial" w:hAnsi="Arial" w:cs="Arial"/>
        </w:rPr>
      </w:pPr>
    </w:p>
    <w:p w14:paraId="17AF8EF4" w14:textId="77777777" w:rsidR="00EC1131" w:rsidRDefault="005B2C4A" w:rsidP="00EC11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 addition, seed count data was collected</w:t>
      </w:r>
      <w:r w:rsidRPr="005B2C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order to add purity weights to Table 2A.</w:t>
      </w:r>
      <w:r w:rsidR="00A5289B">
        <w:rPr>
          <w:rFonts w:ascii="Arial" w:hAnsi="Arial" w:cs="Arial"/>
        </w:rPr>
        <w:t xml:space="preserve"> Thirteen lots of quinoa seeds (seven commercial samples and six germplasm</w:t>
      </w:r>
      <w:r w:rsidR="005A7799">
        <w:rPr>
          <w:rFonts w:ascii="Arial" w:hAnsi="Arial" w:cs="Arial"/>
        </w:rPr>
        <w:t xml:space="preserve"> samples from the USDA) </w:t>
      </w:r>
      <w:r w:rsidR="00A5289B">
        <w:rPr>
          <w:rFonts w:ascii="Arial" w:hAnsi="Arial" w:cs="Arial"/>
        </w:rPr>
        <w:t>were obtained and sampled for seed count information</w:t>
      </w:r>
      <w:r w:rsidR="005A7799">
        <w:rPr>
          <w:rFonts w:ascii="Arial" w:hAnsi="Arial" w:cs="Arial"/>
        </w:rPr>
        <w:t>. The following table is a summary of the seed count data:</w:t>
      </w:r>
    </w:p>
    <w:p w14:paraId="450BDA1E" w14:textId="77777777" w:rsidR="005A7799" w:rsidRDefault="005A7799" w:rsidP="00EC1131">
      <w:pPr>
        <w:pStyle w:val="NoSpacing"/>
        <w:rPr>
          <w:rFonts w:ascii="Arial" w:hAnsi="Arial" w:cs="Arial"/>
          <w:b/>
        </w:rPr>
      </w:pPr>
    </w:p>
    <w:p w14:paraId="72BB8291" w14:textId="77777777" w:rsidR="00E03EFD" w:rsidRDefault="00E03EFD" w:rsidP="00E03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8CF46E" w14:textId="77777777" w:rsidR="005A6DBE" w:rsidRDefault="005A6DBE" w:rsidP="00E03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89EE43" w14:textId="77777777" w:rsidR="00A34BC2" w:rsidRPr="005A6DBE" w:rsidRDefault="005A6DBE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b/>
        </w:rPr>
      </w:pPr>
      <w:r w:rsidRPr="005A6DBE">
        <w:rPr>
          <w:rFonts w:ascii="Nirmala UI" w:hAnsi="Nirmala UI" w:cs="Nirmala UI"/>
          <w:b/>
        </w:rPr>
        <w:t xml:space="preserve">Seed count data </w:t>
      </w:r>
      <w:r w:rsidR="00DC69E8" w:rsidRPr="005A6DBE">
        <w:rPr>
          <w:rFonts w:ascii="Nirmala UI" w:hAnsi="Nirmala UI" w:cs="Nirmala UI"/>
          <w:b/>
        </w:rPr>
        <w:t>for quinoa</w:t>
      </w:r>
      <w:r w:rsidRPr="005A6DBE">
        <w:rPr>
          <w:rFonts w:ascii="Nirmala UI" w:hAnsi="Nirmala UI" w:cs="Nirmala UI"/>
          <w:b/>
        </w:rPr>
        <w:t>:</w:t>
      </w: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"/>
        <w:gridCol w:w="2430"/>
        <w:gridCol w:w="1800"/>
        <w:gridCol w:w="1980"/>
        <w:gridCol w:w="2160"/>
      </w:tblGrid>
      <w:tr w:rsidR="005A7799" w:rsidRPr="005A7799" w14:paraId="0D48657B" w14:textId="77777777" w:rsidTr="005A7799">
        <w:trPr>
          <w:trHeight w:val="847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86530F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lastRenderedPageBreak/>
              <w:t>Sample Number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2D54A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Origin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6056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 xml:space="preserve"> </w:t>
            </w: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1000 seeds (g)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D92B3D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Number of seeds per gram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5C843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Number of seeds per ounce</w:t>
            </w:r>
          </w:p>
        </w:tc>
      </w:tr>
      <w:tr w:rsidR="005A7799" w:rsidRPr="005A7799" w14:paraId="75B77901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69E81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8997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Pacific Grain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625049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2.999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2CCBF8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333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99EA1F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9,453</w:t>
            </w:r>
          </w:p>
        </w:tc>
      </w:tr>
      <w:tr w:rsidR="005A7799" w:rsidRPr="005A7799" w14:paraId="2EA661D8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AA2216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EA704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Pacific Grain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E0FAF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2.782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0822D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360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2DF895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10,192</w:t>
            </w:r>
          </w:p>
        </w:tc>
      </w:tr>
      <w:tr w:rsidR="005A7799" w:rsidRPr="005A7799" w14:paraId="72C1521F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045CB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26653C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Pacific Grain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AA94EC4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3.029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3F7BA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330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77032A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9,359</w:t>
            </w:r>
          </w:p>
        </w:tc>
      </w:tr>
      <w:tr w:rsidR="005A7799" w:rsidRPr="005A7799" w14:paraId="63A4344C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876B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4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6FCD5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Pacific Grain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9260BC8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2.798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9EA477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357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183489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10,133</w:t>
            </w:r>
          </w:p>
        </w:tc>
      </w:tr>
      <w:tr w:rsidR="005A7799" w:rsidRPr="005A7799" w14:paraId="49BF30CD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774138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5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0DD39D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Country Creek Acres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47C18CF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2.420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D090D2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413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750970A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11,716</w:t>
            </w:r>
          </w:p>
        </w:tc>
      </w:tr>
      <w:tr w:rsidR="005A7799" w:rsidRPr="005A7799" w14:paraId="5A0B703C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6BFFDF7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6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E7ED03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Botanical Interests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077006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2.952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2619B68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339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9396C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9,602</w:t>
            </w:r>
          </w:p>
        </w:tc>
      </w:tr>
      <w:tr w:rsidR="005A7799" w:rsidRPr="005A7799" w14:paraId="00D4461A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DD8CE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7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7280D5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Botanical Interests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C5573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3.072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1AF27FA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326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9D83C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9,230</w:t>
            </w:r>
          </w:p>
        </w:tc>
      </w:tr>
      <w:tr w:rsidR="005A7799" w:rsidRPr="005A7799" w14:paraId="5D752833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9215C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8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15983CE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Chile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2229F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1.960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3B19292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510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50D12A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14,464</w:t>
            </w:r>
          </w:p>
        </w:tc>
      </w:tr>
      <w:tr w:rsidR="005A7799" w:rsidRPr="005A7799" w14:paraId="12DCA142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94149A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E73D4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Colorado, USA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2589E9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2.373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2851F6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421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DD2B8D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11,946</w:t>
            </w:r>
          </w:p>
        </w:tc>
      </w:tr>
      <w:tr w:rsidR="005A7799" w:rsidRPr="005A7799" w14:paraId="7B09658A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231D25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10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21E8D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Chile, Maule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2ED3B44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2.660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2079964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376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8944434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10,659</w:t>
            </w:r>
          </w:p>
        </w:tc>
      </w:tr>
      <w:tr w:rsidR="005A7799" w:rsidRPr="005A7799" w14:paraId="2278D44A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89597E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11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3B021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Chile, Pichilemu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4CB81C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2.371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E3F425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422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E16F54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11,955</w:t>
            </w:r>
          </w:p>
        </w:tc>
      </w:tr>
      <w:tr w:rsidR="005A7799" w:rsidRPr="005A7799" w14:paraId="2F7D82D2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74EE82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12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EE999C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Chile, Faro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87F235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3.953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6638A88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253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3C674D9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12,360</w:t>
            </w:r>
          </w:p>
        </w:tc>
      </w:tr>
      <w:tr w:rsidR="005A7799" w:rsidRPr="005A7799" w14:paraId="2458C572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1091E5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13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FB9F5B3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Chile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3C97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3.015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23BFCE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332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20DCF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9,402</w:t>
            </w:r>
          </w:p>
        </w:tc>
      </w:tr>
      <w:tr w:rsidR="005A7799" w:rsidRPr="005A7799" w14:paraId="3AFF8B9F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9B7B0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3CAD856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DA4890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1E96C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8A26CE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</w:tr>
      <w:tr w:rsidR="005A7799" w:rsidRPr="005A7799" w14:paraId="1EBA998A" w14:textId="77777777" w:rsidTr="005A7799">
        <w:trPr>
          <w:trHeight w:val="411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9C23FB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Average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1D507E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color w:val="000000" w:themeColor="text1"/>
                <w:kern w:val="24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A5B271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2.799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BB4329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367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0C58E2" w14:textId="77777777" w:rsidR="005A7799" w:rsidRPr="005A7799" w:rsidRDefault="005A7799" w:rsidP="005A7799">
            <w:pPr>
              <w:spacing w:after="0"/>
              <w:jc w:val="center"/>
              <w:rPr>
                <w:rFonts w:ascii="Arial" w:eastAsia="Times New Roman" w:hAnsi="Arial" w:cs="Arial"/>
              </w:rPr>
            </w:pPr>
            <w:r w:rsidRPr="005A7799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</w:rPr>
              <w:t>10,805</w:t>
            </w:r>
          </w:p>
        </w:tc>
      </w:tr>
    </w:tbl>
    <w:p w14:paraId="77A108E3" w14:textId="77777777" w:rsidR="00A34BC2" w:rsidRDefault="00A34BC2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  <w:b/>
        </w:rPr>
      </w:pPr>
    </w:p>
    <w:p w14:paraId="77DEF0C9" w14:textId="77777777" w:rsidR="005A7799" w:rsidRDefault="005A7799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>Using this data, the average seed counts weights are as follows:</w:t>
      </w:r>
    </w:p>
    <w:p w14:paraId="3EC846D5" w14:textId="77777777" w:rsidR="005B7BE8" w:rsidRPr="005A7799" w:rsidRDefault="005B7BE8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</w:rPr>
      </w:pPr>
    </w:p>
    <w:p w14:paraId="24521DF1" w14:textId="77777777" w:rsidR="00A34BC2" w:rsidRDefault="005A7799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2,500 seeds = 6.998 grams</w:t>
      </w:r>
    </w:p>
    <w:p w14:paraId="7D5361BE" w14:textId="77777777" w:rsidR="005A7799" w:rsidRDefault="005A7799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</w:rPr>
      </w:pPr>
      <w:r>
        <w:rPr>
          <w:rFonts w:ascii="Nirmala UI" w:hAnsi="Nirmala UI" w:cs="Nirmala UI"/>
        </w:rPr>
        <w:tab/>
        <w:t>25,000 seeds = 69.98 grams</w:t>
      </w:r>
    </w:p>
    <w:p w14:paraId="02D9A2E6" w14:textId="77777777" w:rsidR="005B7BE8" w:rsidRPr="00E03EFD" w:rsidRDefault="005B7BE8" w:rsidP="00E03EFD">
      <w:pPr>
        <w:autoSpaceDE w:val="0"/>
        <w:autoSpaceDN w:val="0"/>
        <w:adjustRightInd w:val="0"/>
        <w:spacing w:after="0" w:line="240" w:lineRule="auto"/>
        <w:rPr>
          <w:rFonts w:ascii="Nirmala UI" w:hAnsi="Nirmala UI" w:cs="Nirmala UI"/>
        </w:rPr>
      </w:pPr>
    </w:p>
    <w:p w14:paraId="724B022E" w14:textId="77777777" w:rsidR="004D63EE" w:rsidRDefault="005A7799" w:rsidP="00E03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Minimum purity weights to add to the AOSA Rules should be 7 grams for purity and 70 grams for the noxious weed /bulk exam. </w:t>
      </w:r>
      <w:r w:rsidR="00B3003F">
        <w:rPr>
          <w:rFonts w:ascii="Arial" w:hAnsi="Arial" w:cs="Arial"/>
        </w:rPr>
        <w:t xml:space="preserve">(Note that this is somewhat lower than the weights added to the ISTA Rules in 2021.) </w:t>
      </w:r>
      <w:r>
        <w:rPr>
          <w:rFonts w:ascii="Arial" w:hAnsi="Arial" w:cs="Arial"/>
        </w:rPr>
        <w:t xml:space="preserve">The seed unit for this species is described as </w:t>
      </w:r>
      <w:r w:rsidR="00DC69E8">
        <w:rPr>
          <w:rFonts w:ascii="Arial" w:hAnsi="Arial" w:cs="Arial"/>
        </w:rPr>
        <w:t xml:space="preserve">a utricle by Hortus Third (Bailey 1976), so the proper </w:t>
      </w:r>
      <w:r w:rsidR="0025702C">
        <w:rPr>
          <w:rFonts w:ascii="Arial" w:hAnsi="Arial" w:cs="Arial"/>
        </w:rPr>
        <w:t>Pure Seed Unit</w:t>
      </w:r>
      <w:r w:rsidR="00DC69E8">
        <w:rPr>
          <w:rFonts w:ascii="Arial" w:hAnsi="Arial" w:cs="Arial"/>
        </w:rPr>
        <w:t xml:space="preserve"> for this species is PSU 38; the seed is chaffy.</w:t>
      </w:r>
    </w:p>
    <w:p w14:paraId="429F9A7F" w14:textId="77777777" w:rsidR="002E5CE2" w:rsidRDefault="002E5CE2" w:rsidP="00E03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FF6C762" w14:textId="77777777" w:rsidR="00E03EFD" w:rsidRDefault="00E03EFD" w:rsidP="00E03E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4C0538" w14:textId="77777777" w:rsidR="00EC1131" w:rsidRDefault="00EC1131" w:rsidP="00EC1131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Submitted by:</w:t>
      </w:r>
    </w:p>
    <w:p w14:paraId="347110AF" w14:textId="77777777" w:rsidR="00EC1131" w:rsidRDefault="00EC1131" w:rsidP="00EC11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Sue Alva</w:t>
      </w:r>
      <w:r w:rsidR="002601EC">
        <w:rPr>
          <w:rFonts w:ascii="Arial" w:hAnsi="Arial" w:cs="Arial"/>
        </w:rPr>
        <w:t>rez, RST, Ransom Seed Lab</w:t>
      </w:r>
      <w:r>
        <w:rPr>
          <w:rFonts w:ascii="Arial" w:hAnsi="Arial" w:cs="Arial"/>
        </w:rPr>
        <w:t xml:space="preserve">, Carpinteria, CA </w:t>
      </w:r>
      <w:hyperlink r:id="rId8" w:history="1">
        <w:r w:rsidR="002601EC" w:rsidRPr="00E917F9">
          <w:rPr>
            <w:rStyle w:val="Hyperlink"/>
            <w:rFonts w:ascii="Arial" w:hAnsi="Arial" w:cs="Arial"/>
          </w:rPr>
          <w:t>sue.alvarez@ransomseedlab.com</w:t>
        </w:r>
      </w:hyperlink>
    </w:p>
    <w:p w14:paraId="7099CD28" w14:textId="77777777" w:rsidR="00EC1131" w:rsidRDefault="007D1D57" w:rsidP="00EC113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Linda Barbosa, RST, Sakata Seed</w:t>
      </w:r>
      <w:r w:rsidR="00EE1746">
        <w:rPr>
          <w:rFonts w:ascii="Arial" w:hAnsi="Arial" w:cs="Arial"/>
        </w:rPr>
        <w:t xml:space="preserve">, </w:t>
      </w:r>
      <w:r w:rsidR="00AA28C1">
        <w:rPr>
          <w:rFonts w:ascii="Arial" w:hAnsi="Arial" w:cs="Arial"/>
        </w:rPr>
        <w:t xml:space="preserve">Morgan Hill, </w:t>
      </w:r>
      <w:r w:rsidR="00EE1746">
        <w:rPr>
          <w:rFonts w:ascii="Arial" w:hAnsi="Arial" w:cs="Arial"/>
        </w:rPr>
        <w:t xml:space="preserve">CA  </w:t>
      </w:r>
      <w:hyperlink r:id="rId9" w:history="1">
        <w:r w:rsidR="00EE1746" w:rsidRPr="00C47F11">
          <w:rPr>
            <w:rStyle w:val="Hyperlink"/>
            <w:rFonts w:ascii="Arial" w:hAnsi="Arial" w:cs="Arial"/>
          </w:rPr>
          <w:t>lbarbosa@sakata.com</w:t>
        </w:r>
      </w:hyperlink>
    </w:p>
    <w:p w14:paraId="57607197" w14:textId="77777777" w:rsidR="00EE1746" w:rsidRDefault="00EE1746" w:rsidP="00EC1131">
      <w:pPr>
        <w:pStyle w:val="NoSpacing"/>
        <w:rPr>
          <w:rFonts w:ascii="Arial" w:hAnsi="Arial" w:cs="Arial"/>
        </w:rPr>
      </w:pPr>
    </w:p>
    <w:p w14:paraId="29F283A6" w14:textId="77777777" w:rsidR="00EC1131" w:rsidRDefault="00EC1131" w:rsidP="00EC1131">
      <w:pPr>
        <w:pStyle w:val="NoSpacing"/>
        <w:rPr>
          <w:rFonts w:ascii="Arial" w:hAnsi="Arial" w:cs="Arial"/>
        </w:rPr>
      </w:pPr>
    </w:p>
    <w:p w14:paraId="57B15052" w14:textId="77777777" w:rsidR="00EC1131" w:rsidRDefault="00EC1131" w:rsidP="00EC1131">
      <w:pPr>
        <w:pStyle w:val="NoSpacing"/>
        <w:rPr>
          <w:rFonts w:ascii="Arial" w:hAnsi="Arial" w:cs="Arial"/>
        </w:rPr>
      </w:pPr>
    </w:p>
    <w:p w14:paraId="48632B89" w14:textId="77777777" w:rsidR="006B3F1D" w:rsidRPr="00112198" w:rsidRDefault="00EC1131" w:rsidP="00112198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>Date submitted:</w:t>
      </w:r>
      <w:r>
        <w:rPr>
          <w:rFonts w:ascii="Arial" w:hAnsi="Arial" w:cs="Arial"/>
        </w:rPr>
        <w:t xml:space="preserve">  </w:t>
      </w:r>
      <w:r w:rsidR="000272E9">
        <w:rPr>
          <w:rFonts w:ascii="Arial" w:hAnsi="Arial" w:cs="Arial"/>
        </w:rPr>
        <w:t>July 26</w:t>
      </w:r>
      <w:r>
        <w:rPr>
          <w:rFonts w:ascii="Arial" w:hAnsi="Arial" w:cs="Arial"/>
        </w:rPr>
        <w:t>, 20</w:t>
      </w:r>
      <w:r w:rsidR="008C0A63">
        <w:rPr>
          <w:rFonts w:ascii="Arial" w:hAnsi="Arial" w:cs="Arial"/>
        </w:rPr>
        <w:t>22</w:t>
      </w:r>
    </w:p>
    <w:sectPr w:rsidR="006B3F1D" w:rsidRPr="00112198" w:rsidSect="005A7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6C33D" w14:textId="77777777" w:rsidR="001D5EFA" w:rsidRDefault="001D5EFA" w:rsidP="00DC69E8">
      <w:pPr>
        <w:spacing w:after="0" w:line="240" w:lineRule="auto"/>
      </w:pPr>
      <w:r>
        <w:separator/>
      </w:r>
    </w:p>
  </w:endnote>
  <w:endnote w:type="continuationSeparator" w:id="0">
    <w:p w14:paraId="442B8ECF" w14:textId="77777777" w:rsidR="001D5EFA" w:rsidRDefault="001D5EFA" w:rsidP="00DC6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A0721" w14:textId="77777777" w:rsidR="001D5EFA" w:rsidRDefault="001D5EFA" w:rsidP="00DC69E8">
      <w:pPr>
        <w:spacing w:after="0" w:line="240" w:lineRule="auto"/>
      </w:pPr>
      <w:r>
        <w:separator/>
      </w:r>
    </w:p>
  </w:footnote>
  <w:footnote w:type="continuationSeparator" w:id="0">
    <w:p w14:paraId="75F42FD8" w14:textId="77777777" w:rsidR="001D5EFA" w:rsidRDefault="001D5EFA" w:rsidP="00DC6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3070"/>
    <w:multiLevelType w:val="hybridMultilevel"/>
    <w:tmpl w:val="07A4789A"/>
    <w:lvl w:ilvl="0" w:tplc="3DFA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EAF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78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EE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36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CE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921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9ED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C6D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706963"/>
    <w:multiLevelType w:val="hybridMultilevel"/>
    <w:tmpl w:val="8C565940"/>
    <w:lvl w:ilvl="0" w:tplc="7A464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40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B2D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C63D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3CCE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2ED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0C8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B8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4E0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816B8E"/>
    <w:multiLevelType w:val="hybridMultilevel"/>
    <w:tmpl w:val="F6DCEA40"/>
    <w:lvl w:ilvl="0" w:tplc="608C66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AA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F2B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A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8A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9EE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C0D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828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A255FC"/>
    <w:multiLevelType w:val="hybridMultilevel"/>
    <w:tmpl w:val="F3FCBE72"/>
    <w:lvl w:ilvl="0" w:tplc="A81E3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D84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926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68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C7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92E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FA8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C4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44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A51ED8"/>
    <w:multiLevelType w:val="hybridMultilevel"/>
    <w:tmpl w:val="D2AEEE0E"/>
    <w:lvl w:ilvl="0" w:tplc="586CA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4A2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3E2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86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6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32F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2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29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064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2308EE"/>
    <w:multiLevelType w:val="hybridMultilevel"/>
    <w:tmpl w:val="9E468C5E"/>
    <w:lvl w:ilvl="0" w:tplc="649C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161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24F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CA7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C693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0B1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64A4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AEF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A7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67403EAD"/>
    <w:multiLevelType w:val="hybridMultilevel"/>
    <w:tmpl w:val="41E8D8B4"/>
    <w:lvl w:ilvl="0" w:tplc="10120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548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20BF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E09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D8C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A1B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58FD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A91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4CC3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F932F8"/>
    <w:multiLevelType w:val="hybridMultilevel"/>
    <w:tmpl w:val="2534C0F8"/>
    <w:lvl w:ilvl="0" w:tplc="917A8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A0D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28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968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6E1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442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0A7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21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020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DC1FB1"/>
    <w:multiLevelType w:val="hybridMultilevel"/>
    <w:tmpl w:val="1E309AE8"/>
    <w:lvl w:ilvl="0" w:tplc="61E27C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41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26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E6E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C6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06B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ED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236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E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F03738F"/>
    <w:multiLevelType w:val="hybridMultilevel"/>
    <w:tmpl w:val="EBC215BA"/>
    <w:lvl w:ilvl="0" w:tplc="E932D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8626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18A7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45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BA7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38C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8E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A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5AD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15623390">
    <w:abstractNumId w:val="3"/>
  </w:num>
  <w:num w:numId="2" w16cid:durableId="671491241">
    <w:abstractNumId w:val="5"/>
  </w:num>
  <w:num w:numId="3" w16cid:durableId="2128043061">
    <w:abstractNumId w:val="8"/>
  </w:num>
  <w:num w:numId="4" w16cid:durableId="1400522151">
    <w:abstractNumId w:val="6"/>
  </w:num>
  <w:num w:numId="5" w16cid:durableId="320888065">
    <w:abstractNumId w:val="9"/>
  </w:num>
  <w:num w:numId="6" w16cid:durableId="1940794539">
    <w:abstractNumId w:val="2"/>
  </w:num>
  <w:num w:numId="7" w16cid:durableId="1401632460">
    <w:abstractNumId w:val="4"/>
  </w:num>
  <w:num w:numId="8" w16cid:durableId="2073890156">
    <w:abstractNumId w:val="0"/>
  </w:num>
  <w:num w:numId="9" w16cid:durableId="1493987200">
    <w:abstractNumId w:val="7"/>
  </w:num>
  <w:num w:numId="10" w16cid:durableId="1664972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1131"/>
    <w:rsid w:val="00005FBD"/>
    <w:rsid w:val="000272E9"/>
    <w:rsid w:val="000D373A"/>
    <w:rsid w:val="000D661D"/>
    <w:rsid w:val="000F6204"/>
    <w:rsid w:val="00112198"/>
    <w:rsid w:val="00163462"/>
    <w:rsid w:val="00184EE0"/>
    <w:rsid w:val="001A1C34"/>
    <w:rsid w:val="001D5EFA"/>
    <w:rsid w:val="002037FD"/>
    <w:rsid w:val="00232E4A"/>
    <w:rsid w:val="0025702C"/>
    <w:rsid w:val="002601EC"/>
    <w:rsid w:val="00261355"/>
    <w:rsid w:val="002D604F"/>
    <w:rsid w:val="002E501F"/>
    <w:rsid w:val="002E5CE2"/>
    <w:rsid w:val="00341E47"/>
    <w:rsid w:val="003D1B00"/>
    <w:rsid w:val="004027D4"/>
    <w:rsid w:val="00435FD7"/>
    <w:rsid w:val="004C3001"/>
    <w:rsid w:val="004D63EE"/>
    <w:rsid w:val="005167E6"/>
    <w:rsid w:val="005400E8"/>
    <w:rsid w:val="00544AEA"/>
    <w:rsid w:val="0055166E"/>
    <w:rsid w:val="005863F7"/>
    <w:rsid w:val="005A3A23"/>
    <w:rsid w:val="005A5E4F"/>
    <w:rsid w:val="005A6DBE"/>
    <w:rsid w:val="005A7799"/>
    <w:rsid w:val="005B2C4A"/>
    <w:rsid w:val="005B7BE8"/>
    <w:rsid w:val="006370BC"/>
    <w:rsid w:val="006B3F1D"/>
    <w:rsid w:val="006D4B46"/>
    <w:rsid w:val="00704813"/>
    <w:rsid w:val="0078284F"/>
    <w:rsid w:val="007C73BA"/>
    <w:rsid w:val="007D1D57"/>
    <w:rsid w:val="007E51B2"/>
    <w:rsid w:val="007F2658"/>
    <w:rsid w:val="00852978"/>
    <w:rsid w:val="00882A8B"/>
    <w:rsid w:val="008A0A71"/>
    <w:rsid w:val="008C0A63"/>
    <w:rsid w:val="00937D8B"/>
    <w:rsid w:val="00942C41"/>
    <w:rsid w:val="009476DF"/>
    <w:rsid w:val="00964350"/>
    <w:rsid w:val="00983B0C"/>
    <w:rsid w:val="009D5E4A"/>
    <w:rsid w:val="00A1637B"/>
    <w:rsid w:val="00A34BC2"/>
    <w:rsid w:val="00A5289B"/>
    <w:rsid w:val="00AA28C1"/>
    <w:rsid w:val="00AB5106"/>
    <w:rsid w:val="00AB716E"/>
    <w:rsid w:val="00AD138F"/>
    <w:rsid w:val="00AD4C0C"/>
    <w:rsid w:val="00B3003F"/>
    <w:rsid w:val="00B66B45"/>
    <w:rsid w:val="00B8613E"/>
    <w:rsid w:val="00C41C80"/>
    <w:rsid w:val="00CA0BDD"/>
    <w:rsid w:val="00CC35B8"/>
    <w:rsid w:val="00CF5480"/>
    <w:rsid w:val="00D33C8B"/>
    <w:rsid w:val="00DC0E05"/>
    <w:rsid w:val="00DC1664"/>
    <w:rsid w:val="00DC69E8"/>
    <w:rsid w:val="00DE6106"/>
    <w:rsid w:val="00DF26F7"/>
    <w:rsid w:val="00E0105F"/>
    <w:rsid w:val="00E03EFD"/>
    <w:rsid w:val="00E40C68"/>
    <w:rsid w:val="00E4587D"/>
    <w:rsid w:val="00E92EB6"/>
    <w:rsid w:val="00EC1131"/>
    <w:rsid w:val="00EE1746"/>
    <w:rsid w:val="00EF0F57"/>
    <w:rsid w:val="00FC29B7"/>
    <w:rsid w:val="00FE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99E82"/>
  <w15:docId w15:val="{06356EA8-5757-459C-92D3-DA8241E2A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1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113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1131"/>
    <w:pPr>
      <w:spacing w:after="0" w:line="240" w:lineRule="auto"/>
    </w:pPr>
  </w:style>
  <w:style w:type="paragraph" w:customStyle="1" w:styleId="Default">
    <w:name w:val="Default"/>
    <w:rsid w:val="002613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28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2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D13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D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8C0A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9E8"/>
  </w:style>
  <w:style w:type="paragraph" w:styleId="Footer">
    <w:name w:val="footer"/>
    <w:basedOn w:val="Normal"/>
    <w:link w:val="FooterChar"/>
    <w:uiPriority w:val="99"/>
    <w:unhideWhenUsed/>
    <w:rsid w:val="00DC6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0220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742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877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43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242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82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40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3654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31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2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57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286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889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521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194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413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26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34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154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399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97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873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42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8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066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241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765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26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1965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804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646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935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9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e.alvarez@ransomseedlab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barbosa@saka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1D66A-A0CD-4108-9780-5212FEB70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Ransom Seed All In 1</dc:creator>
  <cp:lastModifiedBy>Erickson, Todd - MRP-AMS</cp:lastModifiedBy>
  <cp:revision>12</cp:revision>
  <dcterms:created xsi:type="dcterms:W3CDTF">2022-06-10T18:56:00Z</dcterms:created>
  <dcterms:modified xsi:type="dcterms:W3CDTF">2023-03-10T19:50:00Z</dcterms:modified>
</cp:coreProperties>
</file>